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49B" w:rsidRDefault="0086649B">
      <w:pPr>
        <w:spacing w:after="0"/>
      </w:pPr>
    </w:p>
    <w:p w:rsidR="0086649B" w:rsidRPr="00E261C6" w:rsidRDefault="00C45BCF">
      <w:pPr>
        <w:spacing w:after="0"/>
        <w:rPr>
          <w:lang w:val="ru-RU"/>
        </w:rPr>
      </w:pPr>
      <w:bookmarkStart w:id="0" w:name="z39"/>
      <w:r>
        <w:rPr>
          <w:color w:val="000000"/>
          <w:sz w:val="20"/>
        </w:rPr>
        <w:t>   </w:t>
      </w:r>
      <w:bookmarkEnd w:id="0"/>
    </w:p>
    <w:tbl>
      <w:tblPr>
        <w:tblW w:w="14075" w:type="dxa"/>
        <w:tblInd w:w="115" w:type="dxa"/>
        <w:tblLook w:val="04A0" w:firstRow="1" w:lastRow="0" w:firstColumn="1" w:lastColumn="0" w:noHBand="0" w:noVBand="1"/>
      </w:tblPr>
      <w:tblGrid>
        <w:gridCol w:w="7793"/>
        <w:gridCol w:w="6282"/>
      </w:tblGrid>
      <w:tr w:rsidR="0086649B" w:rsidRPr="006E61D8" w:rsidTr="00C45BCF">
        <w:trPr>
          <w:trHeight w:val="30"/>
        </w:trPr>
        <w:tc>
          <w:tcPr>
            <w:tcW w:w="7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 w:rsidP="00C45BC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Приложение 3</w:t>
            </w:r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 Правилам </w:t>
            </w:r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разработки и утверждения </w:t>
            </w:r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</w:t>
            </w:r>
            <w:proofErr w:type="spellStart"/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переутверждения</w:t>
            </w:r>
            <w:proofErr w:type="spellEnd"/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бюджетных </w:t>
            </w:r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программ (подпрограмм)</w:t>
            </w:r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 требованиям к их содержанию</w:t>
            </w:r>
          </w:p>
        </w:tc>
      </w:tr>
      <w:tr w:rsidR="0086649B" w:rsidRPr="00D2157B" w:rsidTr="00C45BCF">
        <w:trPr>
          <w:trHeight w:val="30"/>
        </w:trPr>
        <w:tc>
          <w:tcPr>
            <w:tcW w:w="7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 w:rsidP="00C45BC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</w:t>
            </w:r>
            <w:proofErr w:type="spellEnd"/>
          </w:p>
        </w:tc>
      </w:tr>
    </w:tbl>
    <w:p w:rsidR="0086649B" w:rsidRPr="00D2157B" w:rsidRDefault="00D6690E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1" w:name="z77"/>
      <w:r w:rsidRPr="00D2157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                     </w:t>
      </w:r>
      <w:r w:rsidR="00E261C6" w:rsidRPr="00D2157B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Сравнительная таблица изменений, внесенных в бюджетную программу</w:t>
      </w:r>
    </w:p>
    <w:p w:rsidR="00D44DC5" w:rsidRDefault="00E261C6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bookmarkStart w:id="2" w:name="z78"/>
      <w:bookmarkEnd w:id="1"/>
      <w:r w:rsidRPr="00D2157B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="00D44DC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                                    </w:t>
      </w:r>
      <w:r w:rsidR="003D64B1">
        <w:rPr>
          <w:rFonts w:ascii="Times New Roman" w:hAnsi="Times New Roman" w:cs="Times New Roman"/>
          <w:color w:val="000000"/>
          <w:sz w:val="20"/>
          <w:szCs w:val="20"/>
          <w:lang w:val="ru-RU"/>
        </w:rPr>
        <w:t>Экономия от государственных закупок</w:t>
      </w:r>
      <w:r w:rsidR="006E61D8">
        <w:rPr>
          <w:rFonts w:ascii="Times New Roman" w:hAnsi="Times New Roman" w:cs="Times New Roman"/>
          <w:color w:val="000000"/>
          <w:sz w:val="20"/>
          <w:szCs w:val="20"/>
          <w:lang w:val="ru-RU"/>
        </w:rPr>
        <w:t>,</w:t>
      </w:r>
      <w:bookmarkStart w:id="3" w:name="_GoBack"/>
      <w:bookmarkEnd w:id="3"/>
      <w:r w:rsidR="006E61D8" w:rsidRPr="006E61D8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</w:t>
      </w:r>
      <w:proofErr w:type="gramStart"/>
      <w:r w:rsidR="006E61D8" w:rsidRPr="00963207">
        <w:rPr>
          <w:rFonts w:ascii="Times New Roman" w:hAnsi="Times New Roman" w:cs="Times New Roman"/>
          <w:bCs/>
          <w:sz w:val="20"/>
          <w:szCs w:val="20"/>
          <w:lang w:val="ru-RU"/>
        </w:rPr>
        <w:t>с</w:t>
      </w:r>
      <w:r w:rsidR="006E61D8" w:rsidRPr="00963207">
        <w:rPr>
          <w:rFonts w:ascii="Times New Roman" w:hAnsi="Times New Roman" w:cs="Times New Roman"/>
          <w:bCs/>
          <w:sz w:val="20"/>
          <w:szCs w:val="20"/>
          <w:lang w:val="kk-KZ"/>
        </w:rPr>
        <w:t>огласно решения</w:t>
      </w:r>
      <w:proofErr w:type="gramEnd"/>
      <w:r w:rsidR="006E61D8" w:rsidRPr="00963207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Кокшетауского городского </w:t>
      </w:r>
      <w:r w:rsidR="006E61D8" w:rsidRPr="00010B0F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 маслихата № С-23/2 от 13 сентября  2018г</w:t>
      </w:r>
    </w:p>
    <w:p w:rsidR="0086649B" w:rsidRPr="00D2157B" w:rsidRDefault="00E261C6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D2157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D2157B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D2157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D2157B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Pr="00D2157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D44DC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           (</w:t>
      </w:r>
      <w:r w:rsidRPr="00D2157B">
        <w:rPr>
          <w:rFonts w:ascii="Times New Roman" w:hAnsi="Times New Roman" w:cs="Times New Roman"/>
          <w:color w:val="000000"/>
          <w:sz w:val="20"/>
          <w:szCs w:val="20"/>
          <w:lang w:val="ru-RU"/>
        </w:rPr>
        <w:t>указывается причина внесения изменений в бюджетную программу)</w:t>
      </w:r>
    </w:p>
    <w:tbl>
      <w:tblPr>
        <w:tblpPr w:leftFromText="180" w:rightFromText="180" w:vertAnchor="text" w:tblpY="1"/>
        <w:tblOverlap w:val="never"/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"/>
        <w:gridCol w:w="5273"/>
        <w:gridCol w:w="5273"/>
        <w:gridCol w:w="1337"/>
        <w:gridCol w:w="1653"/>
      </w:tblGrid>
      <w:tr w:rsidR="003D64B1" w:rsidRPr="006E61D8" w:rsidTr="00961FF8">
        <w:trPr>
          <w:trHeight w:val="30"/>
        </w:trPr>
        <w:tc>
          <w:tcPr>
            <w:tcW w:w="2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"/>
          <w:p w:rsidR="0086649B" w:rsidRPr="00D2157B" w:rsidRDefault="00E261C6" w:rsidP="00D6690E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2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 w:rsidP="00D6690E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Бюджетная программа, утвержденная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приказом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руководителя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администратора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бюджетных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программ</w:t>
            </w:r>
          </w:p>
        </w:tc>
        <w:tc>
          <w:tcPr>
            <w:tcW w:w="12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 w:rsidP="00D6690E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Бюджетная программа с внесенными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изменениями</w:t>
            </w:r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(изменения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при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корректировке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или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уточнении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выделяются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жирным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шрифтом)</w:t>
            </w:r>
          </w:p>
        </w:tc>
        <w:tc>
          <w:tcPr>
            <w:tcW w:w="6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 w:rsidP="00D6690E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Отклонение</w:t>
            </w:r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(указывается сумма увеличения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или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уменьшения от утвержденной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суммы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по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бюджетной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программе</w:t>
            </w:r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(+/-)</w:t>
            </w:r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gramEnd"/>
          </w:p>
        </w:tc>
        <w:tc>
          <w:tcPr>
            <w:tcW w:w="2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 w:rsidP="00D6690E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Обоснование</w:t>
            </w:r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215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(причины вносимых изменений и дополнений со ссылкой на решение соответствующей бюджетной комиссии (при наличии)</w:t>
            </w:r>
            <w:proofErr w:type="gramEnd"/>
          </w:p>
        </w:tc>
      </w:tr>
      <w:tr w:rsidR="003D64B1" w:rsidRPr="00D2157B" w:rsidTr="00961FF8">
        <w:trPr>
          <w:trHeight w:val="30"/>
        </w:trPr>
        <w:tc>
          <w:tcPr>
            <w:tcW w:w="2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 w:rsidP="00D6690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 w:rsidP="00D6690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 w:rsidP="00D6690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 w:rsidP="00D6690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 w:rsidP="00D6690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3D64B1" w:rsidRPr="006E61D8" w:rsidTr="00961FF8">
        <w:trPr>
          <w:trHeight w:val="30"/>
        </w:trPr>
        <w:tc>
          <w:tcPr>
            <w:tcW w:w="2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 w:rsidP="00D669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157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2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E261C6" w:rsidP="00D6690E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Код и наименование бюджетной программы</w:t>
            </w:r>
            <w:r w:rsidR="00961FF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:</w:t>
            </w:r>
            <w:r w:rsidR="00AA5FAA"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AA5FAA"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464.006 «</w:t>
            </w:r>
            <w:r w:rsidR="00AA5FAA" w:rsidRPr="00D2157B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Дополнительное образование для детей»</w:t>
            </w:r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Конечные результаты бюджетной программы: </w:t>
            </w:r>
            <w:r w:rsidR="00AA5FAA"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Организация дополнительного образования и досуговой деятельности для учащихся организаций образования.</w:t>
            </w:r>
            <w:r w:rsidR="00AA5FAA" w:rsidRPr="00D2157B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Предоставление государственных услуг в сфере дополнительного образования гражданам, проживающим на территории г. Кокшетау, в объеме 100 %. Доля учащихся, получающих дополнительное образование – не менее 30 % от их общего числа.</w:t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63"/>
              <w:gridCol w:w="1010"/>
              <w:gridCol w:w="565"/>
              <w:gridCol w:w="565"/>
              <w:gridCol w:w="565"/>
            </w:tblGrid>
            <w:tr w:rsidR="0086649B" w:rsidRPr="00D2157B" w:rsidTr="00961FF8">
              <w:trPr>
                <w:trHeight w:val="30"/>
              </w:trPr>
              <w:tc>
                <w:tcPr>
                  <w:tcW w:w="1563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6E61D8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 xml:space="preserve">Показатели прямого </w:t>
                  </w:r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lastRenderedPageBreak/>
                    <w:t>результата</w:t>
                  </w:r>
                </w:p>
              </w:tc>
              <w:tc>
                <w:tcPr>
                  <w:tcW w:w="896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6E61D8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lastRenderedPageBreak/>
                    <w:t>Единица измерения</w:t>
                  </w:r>
                </w:p>
              </w:tc>
              <w:tc>
                <w:tcPr>
                  <w:tcW w:w="0" w:type="auto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6E61D8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Плановый период</w:t>
                  </w:r>
                </w:p>
              </w:tc>
            </w:tr>
            <w:tr w:rsidR="0086649B" w:rsidRPr="00D2157B" w:rsidTr="00961FF8">
              <w:trPr>
                <w:trHeight w:val="30"/>
              </w:trPr>
              <w:tc>
                <w:tcPr>
                  <w:tcW w:w="0" w:type="auto"/>
                  <w:vMerge/>
                </w:tcPr>
                <w:p w:rsidR="0086649B" w:rsidRPr="00D2157B" w:rsidRDefault="0086649B" w:rsidP="006E61D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86649B" w:rsidRPr="00D2157B" w:rsidRDefault="0086649B" w:rsidP="006E61D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3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AA5FAA" w:rsidP="006E61D8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2018</w:t>
                  </w:r>
                  <w:r w:rsidR="00E261C6"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25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AA5FAA" w:rsidP="006E61D8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lastRenderedPageBreak/>
                    <w:t>2019</w:t>
                  </w:r>
                  <w:r w:rsidR="00E261C6"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2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D6690E" w:rsidP="006E61D8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lastRenderedPageBreak/>
                    <w:t>2020</w:t>
                  </w:r>
                  <w:r w:rsidR="00E261C6"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</w:tr>
            <w:tr w:rsidR="00AA5FAA" w:rsidRPr="00D2157B" w:rsidTr="00961FF8">
              <w:trPr>
                <w:trHeight w:val="30"/>
              </w:trPr>
              <w:tc>
                <w:tcPr>
                  <w:tcW w:w="156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AA5FAA" w:rsidRPr="00D2157B" w:rsidRDefault="00D6690E" w:rsidP="006E61D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lastRenderedPageBreak/>
                    <w:t>1)</w:t>
                  </w:r>
                  <w:r w:rsidR="00AA5FAA"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охват детей дополнительным образованием и досуговой деятельностью</w:t>
                  </w:r>
                </w:p>
              </w:tc>
              <w:tc>
                <w:tcPr>
                  <w:tcW w:w="8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61FF8" w:rsidRPr="00961FF8" w:rsidRDefault="00961FF8" w:rsidP="006E61D8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  <w:p w:rsidR="00961FF8" w:rsidRPr="00C45BCF" w:rsidRDefault="00961FF8" w:rsidP="006E61D8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  <w:p w:rsidR="00AA5FAA" w:rsidRPr="00D2157B" w:rsidRDefault="00AA5FAA" w:rsidP="006E61D8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Уч-ся</w:t>
                  </w:r>
                  <w:proofErr w:type="spellEnd"/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:rsidR="00AA5FAA" w:rsidRPr="00D2157B" w:rsidRDefault="00AA5FAA" w:rsidP="006E61D8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A5FAA" w:rsidRPr="00D2157B" w:rsidRDefault="00D6690E" w:rsidP="006E61D8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6298</w:t>
                  </w:r>
                  <w:r w:rsidR="00AA5FAA"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25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A5FAA" w:rsidRPr="00D2157B" w:rsidRDefault="00D6690E" w:rsidP="006E61D8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6298</w:t>
                  </w:r>
                  <w:r w:rsidR="00AA5FAA"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2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A5FAA" w:rsidRPr="00D2157B" w:rsidRDefault="00D6690E" w:rsidP="006E61D8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6298</w:t>
                  </w:r>
                  <w:r w:rsidR="00AA5FAA"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</w:tr>
          </w:tbl>
          <w:p w:rsidR="0086649B" w:rsidRPr="00D2157B" w:rsidRDefault="0086649B" w:rsidP="00D6690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60"/>
              <w:gridCol w:w="1104"/>
              <w:gridCol w:w="918"/>
              <w:gridCol w:w="918"/>
              <w:gridCol w:w="918"/>
            </w:tblGrid>
            <w:tr w:rsidR="003D64B1" w:rsidRPr="00D2157B" w:rsidTr="00DF4DF5">
              <w:trPr>
                <w:trHeight w:val="30"/>
              </w:trPr>
              <w:tc>
                <w:tcPr>
                  <w:tcW w:w="1260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6E61D8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Расходы по бюджетной программе</w:t>
                  </w:r>
                </w:p>
              </w:tc>
              <w:tc>
                <w:tcPr>
                  <w:tcW w:w="1104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6E61D8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Единица измерения</w:t>
                  </w:r>
                </w:p>
              </w:tc>
              <w:tc>
                <w:tcPr>
                  <w:tcW w:w="2754" w:type="dxa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6E61D8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Плановый период</w:t>
                  </w:r>
                </w:p>
              </w:tc>
            </w:tr>
            <w:tr w:rsidR="003D64B1" w:rsidRPr="00D2157B" w:rsidTr="00DF4DF5">
              <w:trPr>
                <w:trHeight w:val="30"/>
              </w:trPr>
              <w:tc>
                <w:tcPr>
                  <w:tcW w:w="0" w:type="auto"/>
                  <w:vMerge/>
                </w:tcPr>
                <w:p w:rsidR="0086649B" w:rsidRPr="00D2157B" w:rsidRDefault="0086649B" w:rsidP="006E61D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104" w:type="dxa"/>
                  <w:vMerge/>
                </w:tcPr>
                <w:p w:rsidR="0086649B" w:rsidRPr="00D2157B" w:rsidRDefault="0086649B" w:rsidP="006E61D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9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6E61D8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  <w:r w:rsidR="00D6690E"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2018</w:t>
                  </w:r>
                </w:p>
              </w:tc>
              <w:tc>
                <w:tcPr>
                  <w:tcW w:w="9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6E61D8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  <w:r w:rsidR="00D6690E"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2019</w:t>
                  </w:r>
                </w:p>
              </w:tc>
              <w:tc>
                <w:tcPr>
                  <w:tcW w:w="9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6E61D8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  <w:r w:rsidR="00D6690E"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2020</w:t>
                  </w:r>
                </w:p>
              </w:tc>
            </w:tr>
            <w:tr w:rsidR="00DF4DF5" w:rsidRPr="00D2157B" w:rsidTr="00DF4DF5">
              <w:trPr>
                <w:trHeight w:val="30"/>
              </w:trPr>
              <w:tc>
                <w:tcPr>
                  <w:tcW w:w="12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F4DF5" w:rsidRPr="00D2157B" w:rsidRDefault="00DF4DF5" w:rsidP="006E61D8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За счет средств местного бюджета</w:t>
                  </w:r>
                </w:p>
              </w:tc>
              <w:tc>
                <w:tcPr>
                  <w:tcW w:w="110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F4DF5" w:rsidRPr="00D2157B" w:rsidRDefault="00DF4DF5" w:rsidP="006E61D8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ru-RU"/>
                    </w:rPr>
                    <w:t>тысяч тенге</w:t>
                  </w:r>
                </w:p>
              </w:tc>
              <w:tc>
                <w:tcPr>
                  <w:tcW w:w="9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F4DF5" w:rsidRPr="00D2157B" w:rsidRDefault="00DF4DF5" w:rsidP="006E61D8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250107,0</w:t>
                  </w: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9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F4DF5" w:rsidRDefault="00DF4DF5" w:rsidP="006E61D8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  <w:p w:rsidR="00DF4DF5" w:rsidRPr="00D2157B" w:rsidRDefault="00DF4DF5" w:rsidP="006E61D8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254310,0</w:t>
                  </w: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9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F4DF5" w:rsidRDefault="00DF4DF5" w:rsidP="006E61D8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  <w:p w:rsidR="00DF4DF5" w:rsidRPr="00D2157B" w:rsidRDefault="00DF4DF5" w:rsidP="006E61D8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257187,0</w:t>
                  </w: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</w:tr>
            <w:tr w:rsidR="00DF4DF5" w:rsidRPr="00D2157B" w:rsidTr="00DF4DF5">
              <w:trPr>
                <w:trHeight w:val="30"/>
              </w:trPr>
              <w:tc>
                <w:tcPr>
                  <w:tcW w:w="12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F4DF5" w:rsidRPr="00961FF8" w:rsidRDefault="00DF4DF5" w:rsidP="006E61D8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961FF8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Итого расходы по бюджетной программе</w:t>
                  </w:r>
                </w:p>
              </w:tc>
              <w:tc>
                <w:tcPr>
                  <w:tcW w:w="110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F4DF5" w:rsidRPr="00961FF8" w:rsidRDefault="00DF4DF5" w:rsidP="006E61D8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961FF8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тысяч тенге</w:t>
                  </w:r>
                </w:p>
              </w:tc>
              <w:tc>
                <w:tcPr>
                  <w:tcW w:w="9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F4DF5" w:rsidRPr="00961FF8" w:rsidRDefault="00DF4DF5" w:rsidP="006E61D8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961FF8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t>250107,0</w:t>
                  </w:r>
                  <w:r w:rsidRPr="00961FF8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9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F4DF5" w:rsidRDefault="00DF4DF5" w:rsidP="006E61D8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</w:p>
                <w:p w:rsidR="00DF4DF5" w:rsidRDefault="00DF4DF5" w:rsidP="006E61D8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</w:p>
                <w:p w:rsidR="00DF4DF5" w:rsidRPr="00961FF8" w:rsidRDefault="00DF4DF5" w:rsidP="006E61D8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961FF8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t>254310,0</w:t>
                  </w:r>
                  <w:r w:rsidRPr="00961FF8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9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F4DF5" w:rsidRDefault="00DF4DF5" w:rsidP="006E61D8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</w:p>
                <w:p w:rsidR="00DF4DF5" w:rsidRDefault="00DF4DF5" w:rsidP="006E61D8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</w:p>
                <w:p w:rsidR="00DF4DF5" w:rsidRPr="00961FF8" w:rsidRDefault="00DF4DF5" w:rsidP="006E61D8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961FF8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t>257187,0</w:t>
                  </w:r>
                  <w:r w:rsidRPr="00961FF8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br/>
                  </w:r>
                </w:p>
              </w:tc>
            </w:tr>
          </w:tbl>
          <w:p w:rsidR="0086649B" w:rsidRPr="00D2157B" w:rsidRDefault="0086649B" w:rsidP="00D6690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6649B" w:rsidRPr="00D2157B" w:rsidRDefault="00E261C6" w:rsidP="00D669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</w:p>
          <w:p w:rsidR="0086649B" w:rsidRPr="00D2157B" w:rsidRDefault="00E261C6" w:rsidP="00D669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C45BCF" w:rsidRDefault="00E261C6" w:rsidP="00D6690E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Код и наименование бюджетной программы</w:t>
            </w:r>
            <w:r w:rsidR="00961FF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: </w:t>
            </w:r>
            <w:r w:rsidR="00AA5FAA"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AA5FAA"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464.006 «</w:t>
            </w:r>
            <w:r w:rsidR="00AA5FAA" w:rsidRPr="00D2157B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Дополнительное образование для детей»</w:t>
            </w:r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Конечные результаты бюджетной программы</w:t>
            </w:r>
            <w:r w:rsidR="00AA5FAA"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Организация дополнительного образования и досуговой деятельности для учащихся организаций образования.</w:t>
            </w:r>
            <w:r w:rsidR="00AA5FAA" w:rsidRPr="00D2157B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Предоставление государственных услуг в сфере дополнительного образования гражданам, проживающим на территории г. Кокшетау, в объеме 100 %. Доля учащихся, получающих дополнительное образование – не менее 30 % от их общего числа.</w:t>
            </w: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62"/>
              <w:gridCol w:w="1040"/>
              <w:gridCol w:w="567"/>
              <w:gridCol w:w="567"/>
              <w:gridCol w:w="567"/>
            </w:tblGrid>
            <w:tr w:rsidR="0086649B" w:rsidRPr="00D2157B" w:rsidTr="00961FF8">
              <w:trPr>
                <w:trHeight w:val="30"/>
              </w:trPr>
              <w:tc>
                <w:tcPr>
                  <w:tcW w:w="1562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6E61D8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 xml:space="preserve">Показатели прямого </w:t>
                  </w:r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lastRenderedPageBreak/>
                    <w:t>результата</w:t>
                  </w:r>
                </w:p>
              </w:tc>
              <w:tc>
                <w:tcPr>
                  <w:tcW w:w="1040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6E61D8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lastRenderedPageBreak/>
                    <w:t>Единица измерения</w:t>
                  </w:r>
                </w:p>
              </w:tc>
              <w:tc>
                <w:tcPr>
                  <w:tcW w:w="0" w:type="auto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6E61D8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Плановый период</w:t>
                  </w:r>
                </w:p>
              </w:tc>
            </w:tr>
            <w:tr w:rsidR="0086649B" w:rsidRPr="00D2157B" w:rsidTr="00961FF8">
              <w:trPr>
                <w:trHeight w:val="30"/>
              </w:trPr>
              <w:tc>
                <w:tcPr>
                  <w:tcW w:w="0" w:type="auto"/>
                  <w:vMerge/>
                </w:tcPr>
                <w:p w:rsidR="0086649B" w:rsidRPr="00D2157B" w:rsidRDefault="0086649B" w:rsidP="006E61D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86649B" w:rsidRPr="00D2157B" w:rsidRDefault="0086649B" w:rsidP="006E61D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D6690E" w:rsidP="006E61D8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2018</w:t>
                  </w:r>
                  <w:r w:rsidR="00E261C6"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D6690E" w:rsidP="006E61D8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lastRenderedPageBreak/>
                    <w:t>2019</w:t>
                  </w:r>
                  <w:r w:rsidR="00E261C6"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D6690E" w:rsidP="006E61D8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lastRenderedPageBreak/>
                    <w:t>2020</w:t>
                  </w:r>
                  <w:r w:rsidR="00E261C6"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</w:tr>
            <w:tr w:rsidR="00D6690E" w:rsidRPr="00D2157B" w:rsidTr="00961FF8">
              <w:trPr>
                <w:trHeight w:val="30"/>
              </w:trPr>
              <w:tc>
                <w:tcPr>
                  <w:tcW w:w="156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6690E" w:rsidRPr="00D2157B" w:rsidRDefault="00D6690E" w:rsidP="006E61D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lastRenderedPageBreak/>
                    <w:t>1) охват детей дополнительным образованием и досуговой деятельностью</w:t>
                  </w:r>
                </w:p>
              </w:tc>
              <w:tc>
                <w:tcPr>
                  <w:tcW w:w="10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61FF8" w:rsidRPr="00C45BCF" w:rsidRDefault="00961FF8" w:rsidP="006E61D8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  <w:p w:rsidR="00961FF8" w:rsidRPr="00C45BCF" w:rsidRDefault="00961FF8" w:rsidP="006E61D8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  <w:p w:rsidR="00D6690E" w:rsidRPr="00D2157B" w:rsidRDefault="00D6690E" w:rsidP="006E61D8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Уч-ся</w:t>
                  </w:r>
                  <w:proofErr w:type="spellEnd"/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:rsidR="00D6690E" w:rsidRPr="00D2157B" w:rsidRDefault="00D6690E" w:rsidP="006E61D8">
                  <w:pPr>
                    <w:keepNext/>
                    <w:keepLines/>
                    <w:framePr w:hSpace="180" w:wrap="around" w:vAnchor="text" w:hAnchor="text" w:y="1"/>
                    <w:tabs>
                      <w:tab w:val="left" w:pos="900"/>
                      <w:tab w:val="left" w:pos="1080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6690E" w:rsidRPr="00D2157B" w:rsidRDefault="00D6690E" w:rsidP="006E61D8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6298</w:t>
                  </w: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6690E" w:rsidRPr="00D2157B" w:rsidRDefault="00D6690E" w:rsidP="006E61D8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6298</w:t>
                  </w: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6690E" w:rsidRPr="00D2157B" w:rsidRDefault="00D6690E" w:rsidP="006E61D8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6298</w:t>
                  </w: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</w:tr>
          </w:tbl>
          <w:p w:rsidR="00D6690E" w:rsidRPr="00D2157B" w:rsidRDefault="00D6690E" w:rsidP="00D6690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59"/>
              <w:gridCol w:w="1219"/>
              <w:gridCol w:w="780"/>
              <w:gridCol w:w="780"/>
              <w:gridCol w:w="780"/>
            </w:tblGrid>
            <w:tr w:rsidR="00D6690E" w:rsidRPr="00D2157B" w:rsidTr="00961FF8">
              <w:trPr>
                <w:trHeight w:val="30"/>
              </w:trPr>
              <w:tc>
                <w:tcPr>
                  <w:tcW w:w="1666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6E61D8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Расходы</w:t>
                  </w:r>
                  <w:proofErr w:type="spellEnd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по</w:t>
                  </w:r>
                  <w:proofErr w:type="spellEnd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бюджетной</w:t>
                  </w:r>
                  <w:proofErr w:type="spellEnd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программе</w:t>
                  </w:r>
                  <w:proofErr w:type="spellEnd"/>
                </w:p>
              </w:tc>
              <w:tc>
                <w:tcPr>
                  <w:tcW w:w="126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6E61D8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Единица</w:t>
                  </w:r>
                  <w:proofErr w:type="spellEnd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измерения</w:t>
                  </w:r>
                  <w:proofErr w:type="spellEnd"/>
                </w:p>
              </w:tc>
              <w:tc>
                <w:tcPr>
                  <w:tcW w:w="1654" w:type="dxa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E261C6" w:rsidP="006E61D8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Плановый</w:t>
                  </w:r>
                  <w:proofErr w:type="spellEnd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2157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период</w:t>
                  </w:r>
                  <w:proofErr w:type="spellEnd"/>
                </w:p>
              </w:tc>
            </w:tr>
            <w:tr w:rsidR="00D6690E" w:rsidRPr="00D2157B" w:rsidTr="00961FF8">
              <w:trPr>
                <w:trHeight w:val="30"/>
              </w:trPr>
              <w:tc>
                <w:tcPr>
                  <w:tcW w:w="0" w:type="auto"/>
                  <w:vMerge/>
                </w:tcPr>
                <w:p w:rsidR="0086649B" w:rsidRPr="00D2157B" w:rsidRDefault="0086649B" w:rsidP="006E61D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86649B" w:rsidRPr="00D2157B" w:rsidRDefault="0086649B" w:rsidP="006E61D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7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D6690E" w:rsidP="006E61D8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2018</w:t>
                  </w:r>
                  <w:r w:rsidR="00E261C6" w:rsidRPr="00D2157B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57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D6690E" w:rsidP="006E61D8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2019</w:t>
                  </w:r>
                  <w:r w:rsidR="00E261C6" w:rsidRPr="00D2157B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51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6649B" w:rsidRPr="00D2157B" w:rsidRDefault="00D6690E" w:rsidP="006E61D8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2020</w:t>
                  </w:r>
                </w:p>
              </w:tc>
            </w:tr>
            <w:tr w:rsidR="00D6690E" w:rsidRPr="00D2157B" w:rsidTr="00961FF8">
              <w:trPr>
                <w:trHeight w:val="30"/>
              </w:trPr>
              <w:tc>
                <w:tcPr>
                  <w:tcW w:w="16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6690E" w:rsidRPr="00D2157B" w:rsidRDefault="00D6690E" w:rsidP="006E61D8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За счет средств местного бюджета</w:t>
                  </w:r>
                  <w:r w:rsidRPr="00D215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ru-RU"/>
                    </w:rPr>
                    <w:t xml:space="preserve"> </w:t>
                  </w:r>
                </w:p>
              </w:tc>
              <w:tc>
                <w:tcPr>
                  <w:tcW w:w="12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6690E" w:rsidRPr="00D2157B" w:rsidRDefault="00D6690E" w:rsidP="006E61D8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215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тысяч</w:t>
                  </w:r>
                  <w:proofErr w:type="spellEnd"/>
                  <w:r w:rsidRPr="00D215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215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тенге</w:t>
                  </w:r>
                  <w:proofErr w:type="spellEnd"/>
                </w:p>
              </w:tc>
              <w:tc>
                <w:tcPr>
                  <w:tcW w:w="57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6690E" w:rsidRPr="00D2157B" w:rsidRDefault="00DF4DF5" w:rsidP="006E61D8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243808,3</w:t>
                  </w:r>
                  <w:r w:rsidR="00D6690E" w:rsidRPr="00D2157B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57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6690E" w:rsidRPr="00D2157B" w:rsidRDefault="00D6690E" w:rsidP="006E61D8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254310,0</w:t>
                  </w: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1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6690E" w:rsidRPr="00D2157B" w:rsidRDefault="00D6690E" w:rsidP="006E61D8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257187,0</w:t>
                  </w:r>
                  <w:r w:rsidRPr="00D2157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</w:p>
              </w:tc>
            </w:tr>
            <w:tr w:rsidR="00D6690E" w:rsidRPr="00D2157B" w:rsidTr="00961FF8">
              <w:trPr>
                <w:trHeight w:val="30"/>
              </w:trPr>
              <w:tc>
                <w:tcPr>
                  <w:tcW w:w="16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6690E" w:rsidRPr="00961FF8" w:rsidRDefault="00D6690E" w:rsidP="006E61D8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961FF8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Итого расходы по бюджетной программе</w:t>
                  </w:r>
                </w:p>
              </w:tc>
              <w:tc>
                <w:tcPr>
                  <w:tcW w:w="12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6690E" w:rsidRPr="00961FF8" w:rsidRDefault="00D6690E" w:rsidP="006E61D8">
                  <w:pPr>
                    <w:framePr w:hSpace="180" w:wrap="around" w:vAnchor="text" w:hAnchor="text" w:y="1"/>
                    <w:spacing w:after="20"/>
                    <w:ind w:left="2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961FF8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ru-RU"/>
                    </w:rPr>
                    <w:t>тысяч тенге</w:t>
                  </w:r>
                </w:p>
              </w:tc>
              <w:tc>
                <w:tcPr>
                  <w:tcW w:w="57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6690E" w:rsidRPr="00961FF8" w:rsidRDefault="00D6690E" w:rsidP="006E61D8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961FF8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t>2</w:t>
                  </w:r>
                  <w:r w:rsidR="00DF4DF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t>43808,3</w:t>
                  </w:r>
                  <w:r w:rsidRPr="00961FF8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7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6690E" w:rsidRPr="00961FF8" w:rsidRDefault="00D6690E" w:rsidP="006E61D8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961FF8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t>254310,0</w:t>
                  </w:r>
                  <w:r w:rsidRPr="00961FF8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br/>
                  </w:r>
                </w:p>
              </w:tc>
              <w:tc>
                <w:tcPr>
                  <w:tcW w:w="51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6690E" w:rsidRPr="00961FF8" w:rsidRDefault="00D6690E" w:rsidP="006E61D8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961FF8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t>257187,0</w:t>
                  </w:r>
                  <w:r w:rsidRPr="00961FF8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br/>
                  </w:r>
                </w:p>
              </w:tc>
            </w:tr>
          </w:tbl>
          <w:p w:rsidR="0086649B" w:rsidRPr="00D2157B" w:rsidRDefault="0086649B" w:rsidP="00D6690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6649B" w:rsidRPr="00D2157B" w:rsidRDefault="00E261C6" w:rsidP="00D6690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1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649B" w:rsidRPr="00D2157B" w:rsidRDefault="00D6690E" w:rsidP="00DF4DF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-</w:t>
            </w:r>
            <w:r w:rsidR="00DF4D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6298,7</w:t>
            </w:r>
          </w:p>
        </w:tc>
        <w:tc>
          <w:tcPr>
            <w:tcW w:w="2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4B1" w:rsidRPr="00963207" w:rsidRDefault="00257227" w:rsidP="003D64B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215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Экономия от го</w:t>
            </w:r>
            <w:r w:rsidR="003D64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сударственных</w:t>
            </w:r>
            <w:r w:rsidR="00E261C6" w:rsidRPr="003D64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="003D64B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закупок</w:t>
            </w:r>
            <w:r w:rsidR="003D64B1" w:rsidRPr="009632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</w:t>
            </w:r>
          </w:p>
          <w:p w:rsidR="0086649B" w:rsidRPr="003D64B1" w:rsidRDefault="006E61D8" w:rsidP="003D64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6320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96320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с</w:t>
            </w:r>
            <w:r w:rsidRPr="0096320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огласно решения</w:t>
            </w:r>
            <w:proofErr w:type="gramEnd"/>
            <w:r w:rsidRPr="0096320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Кокшетауского городского </w:t>
            </w:r>
            <w:r w:rsidRPr="00010B0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 маслихата № С-23/2 от 13 сентября  2018г</w:t>
            </w:r>
          </w:p>
        </w:tc>
      </w:tr>
    </w:tbl>
    <w:p w:rsidR="0086649B" w:rsidRPr="003D64B1" w:rsidRDefault="00D6690E">
      <w:pPr>
        <w:spacing w:after="0"/>
        <w:rPr>
          <w:lang w:val="ru-RU"/>
        </w:rPr>
      </w:pPr>
      <w:r w:rsidRPr="003D64B1">
        <w:rPr>
          <w:rFonts w:ascii="Times New Roman" w:hAnsi="Times New Roman" w:cs="Times New Roman"/>
          <w:sz w:val="20"/>
          <w:szCs w:val="20"/>
          <w:lang w:val="ru-RU"/>
        </w:rPr>
        <w:lastRenderedPageBreak/>
        <w:br w:type="textWrapping" w:clear="all"/>
      </w:r>
      <w:r w:rsidR="00E261C6" w:rsidRPr="003D64B1">
        <w:rPr>
          <w:lang w:val="ru-RU"/>
        </w:rPr>
        <w:br/>
      </w:r>
    </w:p>
    <w:p w:rsidR="0086649B" w:rsidRPr="00E261C6" w:rsidRDefault="00E261C6" w:rsidP="00F474ED">
      <w:pPr>
        <w:spacing w:after="0"/>
        <w:rPr>
          <w:lang w:val="ru-RU"/>
        </w:rPr>
      </w:pPr>
      <w:r w:rsidRPr="003D64B1">
        <w:rPr>
          <w:lang w:val="ru-RU"/>
        </w:rPr>
        <w:br/>
      </w:r>
      <w:r w:rsidRPr="003D64B1">
        <w:rPr>
          <w:lang w:val="ru-RU"/>
        </w:rPr>
        <w:br/>
      </w:r>
    </w:p>
    <w:sectPr w:rsidR="0086649B" w:rsidRPr="00E261C6" w:rsidSect="00C45BCF">
      <w:pgSz w:w="16839" w:h="11907" w:orient="landscape" w:code="9"/>
      <w:pgMar w:top="284" w:right="1440" w:bottom="108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61620"/>
    <w:multiLevelType w:val="hybridMultilevel"/>
    <w:tmpl w:val="09928A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49B"/>
    <w:rsid w:val="002569D5"/>
    <w:rsid w:val="00257227"/>
    <w:rsid w:val="00330238"/>
    <w:rsid w:val="003D64B1"/>
    <w:rsid w:val="006E61D8"/>
    <w:rsid w:val="0086649B"/>
    <w:rsid w:val="00961FF8"/>
    <w:rsid w:val="00AA5FAA"/>
    <w:rsid w:val="00B6084D"/>
    <w:rsid w:val="00C45BCF"/>
    <w:rsid w:val="00D2157B"/>
    <w:rsid w:val="00D44DC5"/>
    <w:rsid w:val="00D6690E"/>
    <w:rsid w:val="00DF4DF5"/>
    <w:rsid w:val="00E261C6"/>
    <w:rsid w:val="00F4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34" w:qFormat="1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E26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261C6"/>
    <w:rPr>
      <w:rFonts w:ascii="Tahoma" w:eastAsia="Consolas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AA5FAA"/>
    <w:pPr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34" w:qFormat="1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E26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261C6"/>
    <w:rPr>
      <w:rFonts w:ascii="Tahoma" w:eastAsia="Consolas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AA5FAA"/>
    <w:pPr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RePack by Diakov</cp:lastModifiedBy>
  <cp:revision>16</cp:revision>
  <cp:lastPrinted>2018-04-04T11:59:00Z</cp:lastPrinted>
  <dcterms:created xsi:type="dcterms:W3CDTF">2018-03-28T06:27:00Z</dcterms:created>
  <dcterms:modified xsi:type="dcterms:W3CDTF">2018-09-18T09:15:00Z</dcterms:modified>
</cp:coreProperties>
</file>